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primary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role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equine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bear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absorb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shock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provide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traction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horse's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trimmed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oftentimes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maintain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balance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integrity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their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hooves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because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typical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grows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eights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month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Most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trimmed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every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six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12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weeks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hoofCare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